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73" w:rsidRDefault="00183473">
      <w:pPr>
        <w:rPr>
          <w:i/>
          <w:iCs/>
        </w:rPr>
      </w:pPr>
    </w:p>
    <w:p w:rsidR="00183473" w:rsidRDefault="00183473">
      <w:pPr>
        <w:jc w:val="center"/>
        <w:rPr>
          <w:i/>
          <w:iCs/>
          <w:sz w:val="16"/>
        </w:rPr>
      </w:pPr>
    </w:p>
    <w:p w:rsidR="00183473" w:rsidRDefault="005B4BDD">
      <w:pPr>
        <w:jc w:val="center"/>
        <w:rPr>
          <w:b/>
          <w:bCs/>
          <w:sz w:val="32"/>
        </w:rPr>
      </w:pPr>
      <w:r>
        <w:rPr>
          <w:b/>
          <w:bCs/>
          <w:sz w:val="32"/>
        </w:rPr>
        <w:t>Lessons from Van Territory (step 1)</w:t>
      </w:r>
    </w:p>
    <w:p w:rsidR="005B4BDD" w:rsidRDefault="005B4BDD">
      <w:pPr>
        <w:jc w:val="center"/>
        <w:rPr>
          <w:b/>
          <w:bCs/>
          <w:sz w:val="32"/>
        </w:rPr>
      </w:pPr>
      <w:r>
        <w:rPr>
          <w:b/>
          <w:bCs/>
          <w:sz w:val="32"/>
        </w:rPr>
        <w:t>Adobe construction heritage, Technics</w:t>
      </w:r>
    </w:p>
    <w:p w:rsidR="00183473" w:rsidRDefault="00183473">
      <w:pPr>
        <w:jc w:val="center"/>
        <w:rPr>
          <w:b/>
          <w:bCs/>
          <w:sz w:val="32"/>
        </w:rPr>
      </w:pPr>
      <w:r>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0;margin-top:9.45pt;width:84.2pt;height:100.7pt;z-index:251657728;mso-wrap-style:none">
            <v:textbox style="mso-next-textbox:#_x0000_s1026;mso-fit-shape-to-text:t">
              <w:txbxContent>
                <w:p w:rsidR="00183473" w:rsidRDefault="00881A52">
                  <w:pPr>
                    <w:rPr>
                      <w:b/>
                      <w:i/>
                      <w:sz w:val="22"/>
                      <w:szCs w:val="22"/>
                    </w:rPr>
                  </w:pPr>
                  <w:r>
                    <w:rPr>
                      <w:noProof/>
                      <w:sz w:val="22"/>
                      <w:szCs w:val="22"/>
                    </w:rPr>
                    <w:drawing>
                      <wp:inline distT="0" distB="0" distL="0" distR="0">
                        <wp:extent cx="876300" cy="1181100"/>
                        <wp:effectExtent l="19050" t="0" r="0" b="0"/>
                        <wp:docPr id="18" name="Resim 18" descr="chia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ara (1)"/>
                                <pic:cNvPicPr>
                                  <a:picLocks noChangeAspect="1" noChangeArrowheads="1"/>
                                </pic:cNvPicPr>
                              </pic:nvPicPr>
                              <pic:blipFill>
                                <a:blip r:embed="rId8"/>
                                <a:srcRect/>
                                <a:stretch>
                                  <a:fillRect/>
                                </a:stretch>
                              </pic:blipFill>
                              <pic:spPr bwMode="auto">
                                <a:xfrm>
                                  <a:off x="0" y="0"/>
                                  <a:ext cx="876300" cy="1181100"/>
                                </a:xfrm>
                                <a:prstGeom prst="rect">
                                  <a:avLst/>
                                </a:prstGeom>
                                <a:noFill/>
                                <a:ln w="9525">
                                  <a:noFill/>
                                  <a:miter lim="800000"/>
                                  <a:headEnd/>
                                  <a:tailEnd/>
                                </a:ln>
                              </pic:spPr>
                            </pic:pic>
                          </a:graphicData>
                        </a:graphic>
                      </wp:inline>
                    </w:drawing>
                  </w:r>
                </w:p>
              </w:txbxContent>
            </v:textbox>
          </v:shape>
        </w:pict>
      </w:r>
    </w:p>
    <w:p w:rsidR="00183473" w:rsidRDefault="00183473">
      <w:pPr>
        <w:rPr>
          <w:szCs w:val="22"/>
        </w:rPr>
      </w:pPr>
      <w:r>
        <w:rPr>
          <w:b/>
          <w:bCs/>
          <w:sz w:val="32"/>
        </w:rPr>
        <w:tab/>
      </w:r>
      <w:r>
        <w:rPr>
          <w:b/>
          <w:bCs/>
          <w:sz w:val="32"/>
        </w:rPr>
        <w:tab/>
        <w:t xml:space="preserve">         </w:t>
      </w:r>
      <w:r>
        <w:rPr>
          <w:b/>
          <w:bCs/>
        </w:rPr>
        <w:t xml:space="preserve">Authors </w:t>
      </w:r>
      <w:r>
        <w:rPr>
          <w:b/>
          <w:bCs/>
        </w:rPr>
        <w:tab/>
      </w:r>
      <w:r w:rsidR="005B4BDD">
        <w:rPr>
          <w:b/>
          <w:bCs/>
        </w:rPr>
        <w:t xml:space="preserve">Chiara Braucher, </w:t>
      </w:r>
      <w:r w:rsidR="005B4BDD">
        <w:rPr>
          <w:bCs/>
        </w:rPr>
        <w:t>Mattia Giandomenici</w:t>
      </w:r>
    </w:p>
    <w:p w:rsidR="005B4BDD" w:rsidRDefault="005B4BDD"/>
    <w:p w:rsidR="00183473" w:rsidRDefault="00183473">
      <w:pPr>
        <w:rPr>
          <w:szCs w:val="22"/>
        </w:rPr>
      </w:pPr>
      <w:r>
        <w:tab/>
      </w:r>
      <w:r>
        <w:tab/>
        <w:t xml:space="preserve">            </w:t>
      </w:r>
      <w:r>
        <w:rPr>
          <w:b/>
          <w:bCs/>
        </w:rPr>
        <w:t xml:space="preserve">Address </w:t>
      </w:r>
      <w:r>
        <w:rPr>
          <w:b/>
          <w:bCs/>
        </w:rPr>
        <w:tab/>
      </w:r>
      <w:r w:rsidR="005B4BDD" w:rsidRPr="005B4BDD">
        <w:rPr>
          <w:bCs/>
        </w:rPr>
        <w:t>Via dei narcisi 74, Genova, Italy</w:t>
      </w:r>
    </w:p>
    <w:p w:rsidR="005B4BDD" w:rsidRDefault="005B4BDD">
      <w:pPr>
        <w:rPr>
          <w:szCs w:val="22"/>
        </w:rPr>
      </w:pPr>
    </w:p>
    <w:p w:rsidR="00183473" w:rsidRDefault="00183473">
      <w:pPr>
        <w:ind w:left="3540" w:hanging="1416"/>
        <w:rPr>
          <w:sz w:val="16"/>
        </w:rPr>
      </w:pPr>
      <w:r>
        <w:rPr>
          <w:b/>
          <w:bCs/>
        </w:rPr>
        <w:t xml:space="preserve">E-Mail </w:t>
      </w:r>
      <w:r>
        <w:rPr>
          <w:b/>
          <w:bCs/>
        </w:rPr>
        <w:tab/>
      </w:r>
      <w:r w:rsidR="005B4BDD">
        <w:rPr>
          <w:szCs w:val="22"/>
        </w:rPr>
        <w:t>braucherchiara@gmail.com</w:t>
      </w:r>
    </w:p>
    <w:p w:rsidR="00183473" w:rsidRDefault="00183473">
      <w:pPr>
        <w:rPr>
          <w:sz w:val="16"/>
        </w:rPr>
      </w:pPr>
    </w:p>
    <w:p w:rsidR="00183473" w:rsidRDefault="00183473">
      <w:pPr>
        <w:rPr>
          <w:sz w:val="16"/>
        </w:rPr>
      </w:pPr>
      <w:r>
        <w:rPr>
          <w:sz w:val="16"/>
        </w:rPr>
        <w:tab/>
      </w:r>
      <w:r>
        <w:rPr>
          <w:sz w:val="16"/>
        </w:rPr>
        <w:tab/>
      </w:r>
    </w:p>
    <w:p w:rsidR="00183473" w:rsidRDefault="00183473">
      <w:pPr>
        <w:rPr>
          <w:sz w:val="16"/>
        </w:rPr>
      </w:pPr>
      <w:r>
        <w:rPr>
          <w:sz w:val="16"/>
        </w:rPr>
        <w:tab/>
      </w:r>
      <w:r>
        <w:rPr>
          <w:sz w:val="16"/>
        </w:rPr>
        <w:tab/>
        <w:t xml:space="preserve"> </w:t>
      </w:r>
    </w:p>
    <w:p w:rsidR="005B4BDD" w:rsidRDefault="005B4BDD">
      <w:pPr>
        <w:rPr>
          <w:b/>
          <w:bCs/>
          <w:sz w:val="22"/>
          <w:szCs w:val="22"/>
        </w:rPr>
      </w:pPr>
    </w:p>
    <w:p w:rsidR="00183473" w:rsidRDefault="00183473">
      <w:pPr>
        <w:rPr>
          <w:bCs/>
          <w:sz w:val="22"/>
          <w:szCs w:val="22"/>
        </w:rPr>
      </w:pPr>
      <w:r>
        <w:rPr>
          <w:b/>
          <w:bCs/>
          <w:sz w:val="22"/>
          <w:szCs w:val="22"/>
        </w:rPr>
        <w:t>ABSTRACT</w:t>
      </w:r>
    </w:p>
    <w:p w:rsidR="00967AD9" w:rsidRDefault="00967AD9">
      <w:pPr>
        <w:rPr>
          <w:b/>
          <w:bCs/>
          <w:sz w:val="22"/>
          <w:szCs w:val="22"/>
        </w:rPr>
      </w:pPr>
    </w:p>
    <w:p w:rsidR="009F62C6" w:rsidRPr="00DB19AD" w:rsidRDefault="00493A5F" w:rsidP="00A90D4C">
      <w:pPr>
        <w:tabs>
          <w:tab w:val="left" w:pos="20"/>
          <w:tab w:val="right" w:pos="9072"/>
          <w:tab w:val="left" w:pos="20"/>
        </w:tabs>
        <w:jc w:val="both"/>
        <w:rPr>
          <w:sz w:val="22"/>
          <w:szCs w:val="22"/>
          <w:lang w:val="en-GB"/>
        </w:rPr>
      </w:pPr>
      <w:r w:rsidRPr="00DB19AD">
        <w:rPr>
          <w:sz w:val="22"/>
          <w:szCs w:val="22"/>
          <w:lang w:val="en-GB"/>
        </w:rPr>
        <w:t>The contemporary</w:t>
      </w:r>
      <w:r w:rsidR="00A90D4C" w:rsidRPr="00DB19AD">
        <w:rPr>
          <w:sz w:val="22"/>
          <w:szCs w:val="22"/>
          <w:lang w:val="en-GB"/>
        </w:rPr>
        <w:t xml:space="preserve"> context of</w:t>
      </w:r>
      <w:r w:rsidRPr="00DB19AD">
        <w:rPr>
          <w:sz w:val="22"/>
          <w:szCs w:val="22"/>
          <w:lang w:val="en-GB"/>
        </w:rPr>
        <w:t xml:space="preserve"> conflict in which the Upper Moesopotamia region is involved</w:t>
      </w:r>
      <w:r w:rsidR="00DB19AD" w:rsidRPr="00DB19AD">
        <w:rPr>
          <w:sz w:val="22"/>
          <w:szCs w:val="22"/>
          <w:lang w:val="en-GB"/>
        </w:rPr>
        <w:t>,</w:t>
      </w:r>
      <w:r w:rsidRPr="00DB19AD">
        <w:rPr>
          <w:sz w:val="22"/>
          <w:szCs w:val="22"/>
          <w:lang w:val="en-GB"/>
        </w:rPr>
        <w:t xml:space="preserve"> </w:t>
      </w:r>
      <w:r w:rsidR="00A90D4C" w:rsidRPr="00DB19AD">
        <w:rPr>
          <w:sz w:val="22"/>
          <w:szCs w:val="22"/>
          <w:lang w:val="en-GB"/>
        </w:rPr>
        <w:t xml:space="preserve">represents a field where the requirement of </w:t>
      </w:r>
      <w:r w:rsidR="00DB19AD" w:rsidRPr="00DB19AD">
        <w:rPr>
          <w:sz w:val="22"/>
          <w:szCs w:val="22"/>
          <w:lang w:val="en-GB"/>
        </w:rPr>
        <w:t xml:space="preserve">an </w:t>
      </w:r>
      <w:r w:rsidR="00A90D4C" w:rsidRPr="00DB19AD">
        <w:rPr>
          <w:sz w:val="22"/>
          <w:szCs w:val="22"/>
          <w:lang w:val="en-GB"/>
        </w:rPr>
        <w:t>adequate and ecological proposal of reconstruction appear essential. This paper aim is to deal with the definition of ecological balance, reachable through ecologic</w:t>
      </w:r>
      <w:r w:rsidR="00DB19AD" w:rsidRPr="00DB19AD">
        <w:rPr>
          <w:sz w:val="22"/>
          <w:szCs w:val="22"/>
          <w:lang w:val="en-GB"/>
        </w:rPr>
        <w:t>a</w:t>
      </w:r>
      <w:r w:rsidR="00A90D4C" w:rsidRPr="00DB19AD">
        <w:rPr>
          <w:sz w:val="22"/>
          <w:szCs w:val="22"/>
          <w:lang w:val="en-GB"/>
        </w:rPr>
        <w:t>l behaviours</w:t>
      </w:r>
      <w:r w:rsidR="00E75093" w:rsidRPr="00DB19AD">
        <w:rPr>
          <w:sz w:val="22"/>
          <w:szCs w:val="22"/>
          <w:lang w:val="en-GB"/>
        </w:rPr>
        <w:t xml:space="preserve"> submi</w:t>
      </w:r>
      <w:r w:rsidR="00E8138C" w:rsidRPr="00DB19AD">
        <w:rPr>
          <w:sz w:val="22"/>
          <w:szCs w:val="22"/>
          <w:lang w:val="en-GB"/>
        </w:rPr>
        <w:t>tted to aware choices regardi</w:t>
      </w:r>
      <w:r w:rsidR="00DB19AD">
        <w:rPr>
          <w:sz w:val="22"/>
          <w:szCs w:val="22"/>
          <w:lang w:val="en-GB"/>
        </w:rPr>
        <w:t>n</w:t>
      </w:r>
      <w:r w:rsidR="00E8138C" w:rsidRPr="00DB19AD">
        <w:rPr>
          <w:sz w:val="22"/>
          <w:szCs w:val="22"/>
          <w:lang w:val="en-GB"/>
        </w:rPr>
        <w:t>g different aspect</w:t>
      </w:r>
      <w:r w:rsidR="00DB19AD">
        <w:rPr>
          <w:sz w:val="22"/>
          <w:szCs w:val="22"/>
          <w:lang w:val="en-GB"/>
        </w:rPr>
        <w:t>s</w:t>
      </w:r>
      <w:r w:rsidR="00E8138C" w:rsidRPr="00DB19AD">
        <w:rPr>
          <w:sz w:val="22"/>
          <w:szCs w:val="22"/>
          <w:lang w:val="en-GB"/>
        </w:rPr>
        <w:t xml:space="preserve"> of susta</w:t>
      </w:r>
      <w:r w:rsidR="00DB19AD">
        <w:rPr>
          <w:sz w:val="22"/>
          <w:szCs w:val="22"/>
          <w:lang w:val="en-GB"/>
        </w:rPr>
        <w:t>inable relationship</w:t>
      </w:r>
      <w:r w:rsidR="00E8138C" w:rsidRPr="00DB19AD">
        <w:rPr>
          <w:sz w:val="22"/>
          <w:szCs w:val="22"/>
          <w:lang w:val="en-GB"/>
        </w:rPr>
        <w:t xml:space="preserve"> between men and their territory. In terms of architectural tools,</w:t>
      </w:r>
      <w:r w:rsidR="00E75093" w:rsidRPr="00DB19AD">
        <w:rPr>
          <w:sz w:val="22"/>
          <w:szCs w:val="22"/>
          <w:lang w:val="en-GB"/>
        </w:rPr>
        <w:t xml:space="preserve"> </w:t>
      </w:r>
      <w:r w:rsidR="00E8138C" w:rsidRPr="00DB19AD">
        <w:rPr>
          <w:sz w:val="22"/>
          <w:szCs w:val="22"/>
          <w:lang w:val="en-GB"/>
        </w:rPr>
        <w:t>vernacula</w:t>
      </w:r>
      <w:r w:rsidR="00E75093" w:rsidRPr="00DB19AD">
        <w:rPr>
          <w:sz w:val="22"/>
          <w:szCs w:val="22"/>
          <w:lang w:val="en-GB"/>
        </w:rPr>
        <w:t xml:space="preserve">r heritage, if </w:t>
      </w:r>
      <w:r w:rsidR="00DB19AD">
        <w:rPr>
          <w:sz w:val="22"/>
          <w:szCs w:val="22"/>
          <w:lang w:val="en-GB"/>
        </w:rPr>
        <w:t>it’</w:t>
      </w:r>
      <w:r w:rsidR="00E75093" w:rsidRPr="00DB19AD">
        <w:rPr>
          <w:sz w:val="22"/>
          <w:szCs w:val="22"/>
          <w:lang w:val="en-GB"/>
        </w:rPr>
        <w:t xml:space="preserve">s studied </w:t>
      </w:r>
      <w:r w:rsidR="00E8138C" w:rsidRPr="00DB19AD">
        <w:rPr>
          <w:sz w:val="22"/>
          <w:szCs w:val="22"/>
          <w:lang w:val="en-GB"/>
        </w:rPr>
        <w:t>in the complexity of the different aspects of sustainabilit</w:t>
      </w:r>
      <w:r w:rsidR="00E75093" w:rsidRPr="00DB19AD">
        <w:rPr>
          <w:sz w:val="22"/>
          <w:szCs w:val="22"/>
          <w:lang w:val="en-GB"/>
        </w:rPr>
        <w:t xml:space="preserve">y, allows to develop conscious responses to the changeable  needs of our contemporary societies in terms of identity, culture, quality and environment. On this general framework, focusing on adobe buildings heritage, the reported research was conducted in the region of Van in order to outline </w:t>
      </w:r>
      <w:r w:rsidR="0001443A" w:rsidRPr="00DB19AD">
        <w:rPr>
          <w:sz w:val="22"/>
          <w:szCs w:val="22"/>
          <w:lang w:val="en-GB"/>
        </w:rPr>
        <w:t xml:space="preserve">an operative and practical tool for the empowerment of self-construction practices. </w:t>
      </w:r>
    </w:p>
    <w:p w:rsidR="00493A5F" w:rsidRPr="0001443A" w:rsidRDefault="00493A5F">
      <w:pPr>
        <w:tabs>
          <w:tab w:val="left" w:pos="20"/>
          <w:tab w:val="right" w:pos="9072"/>
          <w:tab w:val="left" w:pos="20"/>
        </w:tabs>
        <w:rPr>
          <w:b/>
          <w:bCs/>
          <w:sz w:val="22"/>
          <w:szCs w:val="22"/>
          <w:lang w:val="en-GB"/>
        </w:rPr>
      </w:pPr>
    </w:p>
    <w:p w:rsidR="00183473" w:rsidRDefault="00183473" w:rsidP="00DB19AD">
      <w:pPr>
        <w:tabs>
          <w:tab w:val="left" w:pos="20"/>
          <w:tab w:val="right" w:pos="9072"/>
          <w:tab w:val="left" w:pos="20"/>
        </w:tabs>
        <w:rPr>
          <w:b/>
          <w:bCs/>
          <w:sz w:val="22"/>
          <w:szCs w:val="22"/>
        </w:rPr>
      </w:pPr>
      <w:r>
        <w:rPr>
          <w:b/>
          <w:bCs/>
          <w:sz w:val="22"/>
          <w:szCs w:val="22"/>
        </w:rPr>
        <w:t>Keywords:</w:t>
      </w:r>
      <w:r w:rsidR="00DB19AD">
        <w:rPr>
          <w:b/>
          <w:bCs/>
          <w:sz w:val="22"/>
          <w:szCs w:val="22"/>
        </w:rPr>
        <w:t xml:space="preserve"> </w:t>
      </w:r>
      <w:r w:rsidR="00DB19AD">
        <w:rPr>
          <w:sz w:val="22"/>
          <w:szCs w:val="22"/>
          <w:lang w:val="en-GB"/>
        </w:rPr>
        <w:t xml:space="preserve">adobe   self-construction   sustainability   vernacular architecture   </w:t>
      </w:r>
      <w:r w:rsidR="00B8432B">
        <w:rPr>
          <w:sz w:val="22"/>
          <w:szCs w:val="22"/>
          <w:lang w:val="en-GB"/>
        </w:rPr>
        <w:t xml:space="preserve">Van </w:t>
      </w:r>
    </w:p>
    <w:p w:rsidR="00183473" w:rsidRDefault="00183473">
      <w:pPr>
        <w:rPr>
          <w:b/>
          <w:bCs/>
          <w:sz w:val="22"/>
          <w:szCs w:val="22"/>
        </w:rPr>
      </w:pPr>
    </w:p>
    <w:p w:rsidR="00183473" w:rsidRDefault="00183473">
      <w:pPr>
        <w:rPr>
          <w:b/>
          <w:bCs/>
          <w:sz w:val="22"/>
          <w:szCs w:val="22"/>
        </w:rPr>
      </w:pPr>
    </w:p>
    <w:p w:rsidR="00C92199" w:rsidRDefault="00C92199" w:rsidP="00AB5F94">
      <w:pPr>
        <w:tabs>
          <w:tab w:val="left" w:pos="20"/>
          <w:tab w:val="right" w:pos="9072"/>
          <w:tab w:val="left" w:pos="20"/>
        </w:tabs>
        <w:jc w:val="both"/>
        <w:rPr>
          <w:b/>
          <w:bCs/>
          <w:sz w:val="22"/>
          <w:szCs w:val="22"/>
        </w:rPr>
      </w:pPr>
    </w:p>
    <w:p w:rsidR="00C92199" w:rsidRDefault="00C92199">
      <w:pPr>
        <w:tabs>
          <w:tab w:val="left" w:pos="20"/>
          <w:tab w:val="right" w:pos="9072"/>
          <w:tab w:val="left" w:pos="20"/>
        </w:tabs>
        <w:ind w:left="20"/>
        <w:jc w:val="both"/>
        <w:rPr>
          <w:b/>
          <w:bCs/>
          <w:sz w:val="22"/>
          <w:szCs w:val="22"/>
        </w:rPr>
      </w:pPr>
    </w:p>
    <w:sectPr w:rsidR="00C92199">
      <w:headerReference w:type="default" r:id="rId9"/>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8C" w:rsidRDefault="0040298C">
      <w:r>
        <w:separator/>
      </w:r>
    </w:p>
  </w:endnote>
  <w:endnote w:type="continuationSeparator" w:id="0">
    <w:p w:rsidR="0040298C" w:rsidRDefault="0040298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8C" w:rsidRDefault="0040298C">
      <w:r>
        <w:separator/>
      </w:r>
    </w:p>
  </w:footnote>
  <w:footnote w:type="continuationSeparator" w:id="0">
    <w:p w:rsidR="0040298C" w:rsidRDefault="00402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BC" w:rsidRPr="00C7018B" w:rsidRDefault="00DB72BC" w:rsidP="00DB72BC">
    <w:pPr>
      <w:pStyle w:val="KonuBal"/>
      <w:jc w:val="left"/>
      <w:rPr>
        <w:szCs w:val="16"/>
      </w:rPr>
    </w:pPr>
    <w:r>
      <w:t xml:space="preserve">Kerpic’16– </w:t>
    </w:r>
    <w:r w:rsidRPr="00C7018B">
      <w:rPr>
        <w:bCs/>
        <w:szCs w:val="16"/>
        <w:bdr w:val="none" w:sz="0" w:space="0" w:color="auto" w:frame="1"/>
      </w:rPr>
      <w:t>“Cultural Landscape: Rebuilding after Decay”</w:t>
    </w:r>
    <w:r w:rsidRPr="00C7018B">
      <w:rPr>
        <w:rStyle w:val="apple-converted-space"/>
        <w:szCs w:val="16"/>
      </w:rPr>
      <w:t> </w:t>
    </w:r>
  </w:p>
  <w:p w:rsidR="00DB72BC" w:rsidRDefault="00DB72BC" w:rsidP="00DB72BC">
    <w:pPr>
      <w:pStyle w:val="KonuBal"/>
      <w:jc w:val="left"/>
    </w:pPr>
    <w:r>
      <w:t xml:space="preserve">International Conference </w:t>
    </w:r>
  </w:p>
  <w:p w:rsidR="00DB72BC" w:rsidRDefault="00DB72BC" w:rsidP="00DB72BC">
    <w:pPr>
      <w:rPr>
        <w:i/>
        <w:iCs/>
        <w:sz w:val="16"/>
      </w:rPr>
    </w:pPr>
    <w:r>
      <w:rPr>
        <w:i/>
        <w:iCs/>
        <w:sz w:val="16"/>
      </w:rPr>
      <w:t>Istanbul Aydin University, Turkey, 17-18 December 2016</w:t>
    </w:r>
  </w:p>
  <w:p w:rsidR="00183473" w:rsidRPr="00B1059B" w:rsidRDefault="00183473" w:rsidP="00B1059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674F6"/>
    <w:multiLevelType w:val="multilevel"/>
    <w:tmpl w:val="47B699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26647"/>
    <w:rsid w:val="00005728"/>
    <w:rsid w:val="0001443A"/>
    <w:rsid w:val="000755E2"/>
    <w:rsid w:val="00077A47"/>
    <w:rsid w:val="000A6EA9"/>
    <w:rsid w:val="0011711B"/>
    <w:rsid w:val="00140C85"/>
    <w:rsid w:val="00161CAA"/>
    <w:rsid w:val="00183473"/>
    <w:rsid w:val="0019505C"/>
    <w:rsid w:val="001B3D22"/>
    <w:rsid w:val="001D575F"/>
    <w:rsid w:val="001E4E5E"/>
    <w:rsid w:val="002436F0"/>
    <w:rsid w:val="002945D4"/>
    <w:rsid w:val="002A6649"/>
    <w:rsid w:val="002E3022"/>
    <w:rsid w:val="00330385"/>
    <w:rsid w:val="003751C0"/>
    <w:rsid w:val="003D616F"/>
    <w:rsid w:val="003E3B11"/>
    <w:rsid w:val="003E3C09"/>
    <w:rsid w:val="0040298C"/>
    <w:rsid w:val="00426BAA"/>
    <w:rsid w:val="004320E6"/>
    <w:rsid w:val="00493A5F"/>
    <w:rsid w:val="004A7873"/>
    <w:rsid w:val="004E6D51"/>
    <w:rsid w:val="00526647"/>
    <w:rsid w:val="00560EC1"/>
    <w:rsid w:val="00574803"/>
    <w:rsid w:val="005B4BDD"/>
    <w:rsid w:val="005C0E33"/>
    <w:rsid w:val="005D6C6B"/>
    <w:rsid w:val="00622881"/>
    <w:rsid w:val="006E5167"/>
    <w:rsid w:val="00721411"/>
    <w:rsid w:val="007336A5"/>
    <w:rsid w:val="007D3EF7"/>
    <w:rsid w:val="00814B21"/>
    <w:rsid w:val="00881A52"/>
    <w:rsid w:val="00885097"/>
    <w:rsid w:val="008B1D32"/>
    <w:rsid w:val="008D1CBD"/>
    <w:rsid w:val="008D27DA"/>
    <w:rsid w:val="008E69F5"/>
    <w:rsid w:val="00937748"/>
    <w:rsid w:val="00953041"/>
    <w:rsid w:val="00962F3B"/>
    <w:rsid w:val="00967AD9"/>
    <w:rsid w:val="009B4444"/>
    <w:rsid w:val="009B63A9"/>
    <w:rsid w:val="009C59CB"/>
    <w:rsid w:val="009E1DEC"/>
    <w:rsid w:val="009F62C6"/>
    <w:rsid w:val="00A13FA9"/>
    <w:rsid w:val="00A61DDE"/>
    <w:rsid w:val="00A87EE3"/>
    <w:rsid w:val="00A90D4C"/>
    <w:rsid w:val="00AB5F94"/>
    <w:rsid w:val="00B1059B"/>
    <w:rsid w:val="00B138ED"/>
    <w:rsid w:val="00B26398"/>
    <w:rsid w:val="00B71323"/>
    <w:rsid w:val="00B71A04"/>
    <w:rsid w:val="00B77060"/>
    <w:rsid w:val="00B8432B"/>
    <w:rsid w:val="00BA4ED1"/>
    <w:rsid w:val="00C147AA"/>
    <w:rsid w:val="00C74141"/>
    <w:rsid w:val="00C83A5A"/>
    <w:rsid w:val="00C906A7"/>
    <w:rsid w:val="00C92199"/>
    <w:rsid w:val="00C945CA"/>
    <w:rsid w:val="00DA5465"/>
    <w:rsid w:val="00DB19AD"/>
    <w:rsid w:val="00DB5EE8"/>
    <w:rsid w:val="00DB72BC"/>
    <w:rsid w:val="00DF34DB"/>
    <w:rsid w:val="00E40418"/>
    <w:rsid w:val="00E75093"/>
    <w:rsid w:val="00E8138C"/>
    <w:rsid w:val="00EB13A3"/>
    <w:rsid w:val="00EE3792"/>
    <w:rsid w:val="00F1294E"/>
    <w:rsid w:val="00FA2768"/>
    <w:rsid w:val="00FB4495"/>
    <w:rsid w:val="00FC05EC"/>
    <w:rsid w:val="00FC1D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i/>
      <w:iCs/>
      <w:sz w:val="16"/>
    </w:rPr>
  </w:style>
  <w:style w:type="paragraph" w:styleId="stbilgi">
    <w:name w:val="header"/>
    <w:basedOn w:val="Normal"/>
    <w:pPr>
      <w:tabs>
        <w:tab w:val="center" w:pos="4703"/>
        <w:tab w:val="right" w:pos="9406"/>
      </w:tabs>
    </w:pPr>
  </w:style>
  <w:style w:type="paragraph" w:styleId="Altbilgi">
    <w:name w:val="footer"/>
    <w:basedOn w:val="Normal"/>
    <w:pPr>
      <w:tabs>
        <w:tab w:val="center" w:pos="4703"/>
        <w:tab w:val="right" w:pos="9406"/>
      </w:tabs>
    </w:pPr>
  </w:style>
  <w:style w:type="character" w:styleId="Kpr">
    <w:name w:val="Hyperlink"/>
    <w:basedOn w:val="VarsaylanParagrafYazTipi"/>
    <w:uiPriority w:val="99"/>
    <w:unhideWhenUsed/>
    <w:rsid w:val="005B4BDD"/>
    <w:rPr>
      <w:color w:val="0000FF"/>
      <w:u w:val="single"/>
    </w:rPr>
  </w:style>
  <w:style w:type="character" w:customStyle="1" w:styleId="apple-converted-space">
    <w:name w:val="apple-converted-space"/>
    <w:basedOn w:val="VarsaylanParagrafYazTipi"/>
    <w:rsid w:val="00DB72BC"/>
  </w:style>
</w:styles>
</file>

<file path=word/webSettings.xml><?xml version="1.0" encoding="utf-8"?>
<w:webSettings xmlns:r="http://schemas.openxmlformats.org/officeDocument/2006/relationships" xmlns:w="http://schemas.openxmlformats.org/wordprocessingml/2006/main">
  <w:divs>
    <w:div w:id="889338267">
      <w:bodyDiv w:val="1"/>
      <w:marLeft w:val="0"/>
      <w:marRight w:val="0"/>
      <w:marTop w:val="0"/>
      <w:marBottom w:val="0"/>
      <w:divBdr>
        <w:top w:val="none" w:sz="0" w:space="0" w:color="auto"/>
        <w:left w:val="none" w:sz="0" w:space="0" w:color="auto"/>
        <w:bottom w:val="none" w:sz="0" w:space="0" w:color="auto"/>
        <w:right w:val="none" w:sz="0" w:space="0" w:color="auto"/>
      </w:divBdr>
    </w:div>
    <w:div w:id="13024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0330C-A836-4441-8CBB-F31406FE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6" baseType="variant">
      <vt:variant>
        <vt:lpstr>Konu Başlığı</vt:lpstr>
      </vt:variant>
      <vt:variant>
        <vt:i4>1</vt:i4>
      </vt:variant>
      <vt:variant>
        <vt:lpstr>Titolo</vt:lpstr>
      </vt:variant>
      <vt:variant>
        <vt:i4>1</vt:i4>
      </vt:variant>
      <vt:variant>
        <vt:lpstr>Title</vt:lpstr>
      </vt:variant>
      <vt:variant>
        <vt:i4>1</vt:i4>
      </vt:variant>
    </vt:vector>
  </HeadingPairs>
  <TitlesOfParts>
    <vt:vector size="3" baseType="lpstr">
      <vt:lpstr>Living in Earthen Cities – kerpic05</vt:lpstr>
      <vt:lpstr>Living in Earthen Cities – kerpic05</vt:lpstr>
      <vt:lpstr>Living in Earthen Cities – kerpic05</vt:lpstr>
    </vt:vector>
  </TitlesOfParts>
  <Company>VESTEL</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Earthen Cities – kerpic05</dc:title>
  <dc:creator>EDA</dc:creator>
  <cp:lastModifiedBy>gokcenfyucel</cp:lastModifiedBy>
  <cp:revision>2</cp:revision>
  <dcterms:created xsi:type="dcterms:W3CDTF">2016-12-12T13:25:00Z</dcterms:created>
  <dcterms:modified xsi:type="dcterms:W3CDTF">2016-12-12T13:25:00Z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-1908869684</vt:i4>
  </property>
  <property fmtid="{D5CDD505-2E9C-101B-9397-08002B2CF9AE}" pid="3" name="_EmailSubject">
    <vt:lpwstr>kerpic 05 web sayfasi - formlara ek</vt:lpwstr>
  </property>
  <property fmtid="{D5CDD505-2E9C-101B-9397-08002B2CF9AE}" pid="4" name="_AuthorEmail">
    <vt:lpwstr>ecem@itu.edu.tr</vt:lpwstr>
  </property>
  <property fmtid="{D5CDD505-2E9C-101B-9397-08002B2CF9AE}" pid="5" name="_AuthorEmailDisplayName">
    <vt:lpwstr>ecem edis</vt:lpwstr>
  </property>
  <property fmtid="{D5CDD505-2E9C-101B-9397-08002B2CF9AE}" pid="6" name="_PreviousAdHocReviewCycleID">
    <vt:i4>799576216</vt:i4>
  </property>
  <property fmtid="{D5CDD505-2E9C-101B-9397-08002B2CF9AE}" pid="7" name="_ReviewingToolsShownOnce">
    <vt:lpwstr/>
  </property>
</Properties>
</file>