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473" w:rsidRDefault="00183473">
      <w:pPr>
        <w:rPr>
          <w:i/>
          <w:iCs/>
        </w:rPr>
      </w:pPr>
    </w:p>
    <w:p w:rsidR="00183473" w:rsidRDefault="00183473">
      <w:pPr>
        <w:jc w:val="center"/>
        <w:rPr>
          <w:i/>
          <w:iCs/>
          <w:sz w:val="16"/>
        </w:rPr>
      </w:pPr>
    </w:p>
    <w:p w:rsidR="00637D2C" w:rsidRPr="00787EB9" w:rsidRDefault="00637D2C" w:rsidP="00637D2C">
      <w:pPr>
        <w:jc w:val="center"/>
        <w:rPr>
          <w:b/>
          <w:bCs/>
          <w:sz w:val="32"/>
          <w:szCs w:val="32"/>
          <w:lang w:val="en-US"/>
        </w:rPr>
      </w:pPr>
      <w:r w:rsidRPr="00787EB9">
        <w:rPr>
          <w:b/>
          <w:bCs/>
          <w:sz w:val="32"/>
          <w:szCs w:val="32"/>
          <w:lang w:val="en-US"/>
        </w:rPr>
        <w:t xml:space="preserve">Global Rebuilding: </w:t>
      </w:r>
      <w:proofErr w:type="spellStart"/>
      <w:r w:rsidRPr="00787EB9">
        <w:rPr>
          <w:b/>
          <w:bCs/>
          <w:sz w:val="32"/>
          <w:szCs w:val="32"/>
          <w:lang w:val="en-US"/>
        </w:rPr>
        <w:t>Cumalıkızık</w:t>
      </w:r>
      <w:proofErr w:type="spellEnd"/>
      <w:r w:rsidRPr="00787EB9">
        <w:rPr>
          <w:b/>
          <w:bCs/>
          <w:sz w:val="32"/>
          <w:szCs w:val="32"/>
          <w:lang w:val="en-US"/>
        </w:rPr>
        <w:t xml:space="preserve"> Case </w:t>
      </w:r>
    </w:p>
    <w:p w:rsidR="00EB4E68" w:rsidRPr="00787EB9" w:rsidRDefault="00EB4E68">
      <w:pPr>
        <w:rPr>
          <w:b/>
          <w:bCs/>
          <w:sz w:val="32"/>
          <w:szCs w:val="32"/>
        </w:rPr>
      </w:pPr>
    </w:p>
    <w:p w:rsidR="000056B5" w:rsidRDefault="000056B5">
      <w:pPr>
        <w:rPr>
          <w:b/>
          <w:bCs/>
          <w:sz w:val="3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6"/>
        <w:gridCol w:w="1691"/>
        <w:gridCol w:w="5776"/>
      </w:tblGrid>
      <w:tr w:rsidR="000056B5" w:rsidRPr="00462E4B" w:rsidTr="009A1EE2">
        <w:tc>
          <w:tcPr>
            <w:tcW w:w="1536" w:type="dxa"/>
          </w:tcPr>
          <w:p w:rsidR="000056B5" w:rsidRPr="00462E4B" w:rsidRDefault="000056B5" w:rsidP="000056B5">
            <w:pPr>
              <w:pStyle w:val="KonuBal"/>
            </w:pPr>
            <w:r w:rsidRPr="000056B5">
              <w:rPr>
                <w:noProof/>
              </w:rPr>
              <w:drawing>
                <wp:anchor distT="0" distB="0" distL="114300" distR="114300" simplePos="0" relativeHeight="251659264" behindDoc="0" locked="0" layoutInCell="1" allowOverlap="1">
                  <wp:simplePos x="0" y="0"/>
                  <wp:positionH relativeFrom="column">
                    <wp:posOffset>10795</wp:posOffset>
                  </wp:positionH>
                  <wp:positionV relativeFrom="paragraph">
                    <wp:posOffset>33655</wp:posOffset>
                  </wp:positionV>
                  <wp:extent cx="815340" cy="1094740"/>
                  <wp:effectExtent l="19050" t="0" r="3810" b="0"/>
                  <wp:wrapSquare wrapText="bothSides"/>
                  <wp:docPr id="18" name="12 Resim" descr="profil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ll.JPG"/>
                          <pic:cNvPicPr/>
                        </pic:nvPicPr>
                        <pic:blipFill>
                          <a:blip r:embed="rId6" cstate="print"/>
                          <a:srcRect r="52779"/>
                          <a:stretch>
                            <a:fillRect/>
                          </a:stretch>
                        </pic:blipFill>
                        <pic:spPr>
                          <a:xfrm>
                            <a:off x="0" y="0"/>
                            <a:ext cx="815340" cy="1094740"/>
                          </a:xfrm>
                          <a:prstGeom prst="rect">
                            <a:avLst/>
                          </a:prstGeom>
                        </pic:spPr>
                      </pic:pic>
                    </a:graphicData>
                  </a:graphic>
                </wp:anchor>
              </w:drawing>
            </w:r>
          </w:p>
        </w:tc>
        <w:tc>
          <w:tcPr>
            <w:tcW w:w="1691" w:type="dxa"/>
          </w:tcPr>
          <w:p w:rsidR="000056B5" w:rsidRPr="00462E4B" w:rsidRDefault="000056B5" w:rsidP="002233A9">
            <w:pPr>
              <w:rPr>
                <w:b/>
              </w:rPr>
            </w:pPr>
            <w:r w:rsidRPr="000056B5">
              <w:rPr>
                <w:b/>
                <w:noProof/>
              </w:rPr>
              <w:drawing>
                <wp:inline distT="0" distB="0" distL="0" distR="0">
                  <wp:extent cx="892453" cy="1128889"/>
                  <wp:effectExtent l="19050" t="0" r="2897" b="0"/>
                  <wp:docPr id="19" name="Resim 1" descr="C:\Users\gokcenfyucel\Downloads\2016-11-30-PHOTO-00000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kcenfyucel\Downloads\2016-11-30-PHOTO-00000199.jpg"/>
                          <pic:cNvPicPr>
                            <a:picLocks noChangeAspect="1" noChangeArrowheads="1"/>
                          </pic:cNvPicPr>
                        </pic:nvPicPr>
                        <pic:blipFill>
                          <a:blip r:embed="rId7" cstate="print"/>
                          <a:srcRect t="12048" r="6304" b="23254"/>
                          <a:stretch>
                            <a:fillRect/>
                          </a:stretch>
                        </pic:blipFill>
                        <pic:spPr bwMode="auto">
                          <a:xfrm>
                            <a:off x="0" y="0"/>
                            <a:ext cx="892453" cy="1128889"/>
                          </a:xfrm>
                          <a:prstGeom prst="rect">
                            <a:avLst/>
                          </a:prstGeom>
                          <a:noFill/>
                          <a:ln w="9525">
                            <a:noFill/>
                            <a:miter lim="800000"/>
                            <a:headEnd/>
                            <a:tailEnd/>
                          </a:ln>
                        </pic:spPr>
                      </pic:pic>
                    </a:graphicData>
                  </a:graphic>
                </wp:inline>
              </w:drawing>
            </w:r>
          </w:p>
        </w:tc>
        <w:tc>
          <w:tcPr>
            <w:tcW w:w="5776" w:type="dxa"/>
          </w:tcPr>
          <w:p w:rsidR="000056B5" w:rsidRPr="009A1EE2" w:rsidRDefault="000056B5" w:rsidP="000056B5">
            <w:pPr>
              <w:rPr>
                <w:rFonts w:ascii="Times New Roman" w:hAnsi="Times New Roman" w:cs="Times New Roman"/>
              </w:rPr>
            </w:pPr>
            <w:r w:rsidRPr="009A1EE2">
              <w:rPr>
                <w:rFonts w:ascii="Times New Roman" w:hAnsi="Times New Roman" w:cs="Times New Roman"/>
                <w:bCs/>
              </w:rPr>
              <w:t xml:space="preserve">Aysel Tarım, </w:t>
            </w:r>
            <w:proofErr w:type="spellStart"/>
            <w:r w:rsidRPr="009A1EE2">
              <w:rPr>
                <w:rFonts w:ascii="Times New Roman" w:hAnsi="Times New Roman" w:cs="Times New Roman"/>
                <w:bCs/>
              </w:rPr>
              <w:t>Asst</w:t>
            </w:r>
            <w:proofErr w:type="spellEnd"/>
            <w:r w:rsidRPr="009A1EE2">
              <w:rPr>
                <w:rFonts w:ascii="Times New Roman" w:hAnsi="Times New Roman" w:cs="Times New Roman"/>
                <w:bCs/>
              </w:rPr>
              <w:t xml:space="preserve">. Prof. Dr. Sibel </w:t>
            </w:r>
            <w:proofErr w:type="spellStart"/>
            <w:r w:rsidRPr="009A1EE2">
              <w:rPr>
                <w:rFonts w:ascii="Times New Roman" w:hAnsi="Times New Roman" w:cs="Times New Roman"/>
                <w:bCs/>
              </w:rPr>
              <w:t>Hattap</w:t>
            </w:r>
            <w:proofErr w:type="spellEnd"/>
          </w:p>
          <w:p w:rsidR="000056B5" w:rsidRPr="009A1EE2" w:rsidRDefault="000056B5" w:rsidP="000056B5">
            <w:pPr>
              <w:rPr>
                <w:rFonts w:ascii="Times New Roman" w:hAnsi="Times New Roman" w:cs="Times New Roman"/>
              </w:rPr>
            </w:pPr>
            <w:r w:rsidRPr="009A1EE2">
              <w:rPr>
                <w:rFonts w:ascii="Times New Roman" w:hAnsi="Times New Roman" w:cs="Times New Roman"/>
              </w:rPr>
              <w:t xml:space="preserve"> T.C Mimar Sinan </w:t>
            </w:r>
            <w:proofErr w:type="spellStart"/>
            <w:r w:rsidRPr="009A1EE2">
              <w:rPr>
                <w:rFonts w:ascii="Times New Roman" w:hAnsi="Times New Roman" w:cs="Times New Roman"/>
              </w:rPr>
              <w:t>Fine</w:t>
            </w:r>
            <w:proofErr w:type="spellEnd"/>
            <w:r w:rsidRPr="009A1EE2">
              <w:rPr>
                <w:rFonts w:ascii="Times New Roman" w:hAnsi="Times New Roman" w:cs="Times New Roman"/>
              </w:rPr>
              <w:t xml:space="preserve"> </w:t>
            </w:r>
            <w:proofErr w:type="spellStart"/>
            <w:r w:rsidRPr="009A1EE2">
              <w:rPr>
                <w:rFonts w:ascii="Times New Roman" w:hAnsi="Times New Roman" w:cs="Times New Roman"/>
              </w:rPr>
              <w:t>Arts</w:t>
            </w:r>
            <w:proofErr w:type="spellEnd"/>
            <w:r w:rsidRPr="009A1EE2">
              <w:rPr>
                <w:rFonts w:ascii="Times New Roman" w:hAnsi="Times New Roman" w:cs="Times New Roman"/>
              </w:rPr>
              <w:t xml:space="preserve"> University,  İstanbul / Turkey</w:t>
            </w:r>
          </w:p>
          <w:p w:rsidR="000056B5" w:rsidRPr="009A1EE2" w:rsidRDefault="000056B5" w:rsidP="000056B5">
            <w:pPr>
              <w:rPr>
                <w:rFonts w:ascii="Times New Roman" w:hAnsi="Times New Roman" w:cs="Times New Roman"/>
                <w:bCs/>
              </w:rPr>
            </w:pPr>
            <w:r w:rsidRPr="009A1EE2">
              <w:rPr>
                <w:rFonts w:ascii="Times New Roman" w:hAnsi="Times New Roman" w:cs="Times New Roman"/>
                <w:b/>
                <w:bCs/>
              </w:rPr>
              <w:t xml:space="preserve"> </w:t>
            </w:r>
            <w:hyperlink r:id="rId8" w:history="1">
              <w:r w:rsidRPr="009A1EE2">
                <w:rPr>
                  <w:rStyle w:val="Kpr"/>
                  <w:rFonts w:ascii="Times New Roman" w:hAnsi="Times New Roman" w:cs="Times New Roman"/>
                  <w:bCs/>
                  <w:color w:val="auto"/>
                  <w:u w:val="none"/>
                </w:rPr>
                <w:t>aysel_oem@yahoo.com</w:t>
              </w:r>
            </w:hyperlink>
            <w:r w:rsidRPr="009A1EE2">
              <w:rPr>
                <w:rFonts w:ascii="Times New Roman" w:hAnsi="Times New Roman" w:cs="Times New Roman"/>
                <w:bCs/>
              </w:rPr>
              <w:t>,</w:t>
            </w:r>
            <w:r w:rsidRPr="009A1EE2">
              <w:rPr>
                <w:rFonts w:ascii="Times New Roman" w:hAnsi="Times New Roman" w:cs="Times New Roman"/>
                <w:b/>
                <w:bCs/>
              </w:rPr>
              <w:t xml:space="preserve"> </w:t>
            </w:r>
            <w:hyperlink r:id="rId9" w:history="1">
              <w:r w:rsidRPr="009A1EE2">
                <w:rPr>
                  <w:rStyle w:val="Kpr"/>
                  <w:rFonts w:ascii="Times New Roman" w:hAnsi="Times New Roman" w:cs="Times New Roman"/>
                  <w:bCs/>
                  <w:color w:val="auto"/>
                  <w:u w:val="none"/>
                </w:rPr>
                <w:t>sibelhattap@gmail.com</w:t>
              </w:r>
            </w:hyperlink>
          </w:p>
          <w:p w:rsidR="000056B5" w:rsidRPr="00462E4B" w:rsidRDefault="000056B5" w:rsidP="002233A9">
            <w:pPr>
              <w:jc w:val="center"/>
              <w:rPr>
                <w:b/>
              </w:rPr>
            </w:pPr>
          </w:p>
        </w:tc>
      </w:tr>
    </w:tbl>
    <w:p w:rsidR="00183473" w:rsidRPr="005B71E2" w:rsidRDefault="00A1448F" w:rsidP="000056B5">
      <w:pPr>
        <w:rPr>
          <w:bCs/>
        </w:rPr>
      </w:pPr>
      <w:r>
        <w:rPr>
          <w:b/>
          <w:bCs/>
        </w:rPr>
        <w:t xml:space="preserve">      </w:t>
      </w:r>
    </w:p>
    <w:p w:rsidR="005B71E2" w:rsidRDefault="005B71E2">
      <w:pPr>
        <w:ind w:left="3540" w:hanging="1416"/>
        <w:rPr>
          <w:sz w:val="16"/>
        </w:rPr>
      </w:pPr>
    </w:p>
    <w:p w:rsidR="00183473" w:rsidRPr="00DD279F" w:rsidRDefault="00183473">
      <w:pPr>
        <w:rPr>
          <w:b/>
          <w:bCs/>
          <w:sz w:val="22"/>
          <w:szCs w:val="22"/>
        </w:rPr>
      </w:pPr>
      <w:r w:rsidRPr="00DD279F">
        <w:rPr>
          <w:b/>
          <w:bCs/>
          <w:sz w:val="22"/>
          <w:szCs w:val="22"/>
        </w:rPr>
        <w:t xml:space="preserve">ABSTRACT  </w:t>
      </w:r>
    </w:p>
    <w:p w:rsidR="00183473" w:rsidRDefault="00183473">
      <w:pPr>
        <w:rPr>
          <w:b/>
          <w:bCs/>
          <w:sz w:val="22"/>
          <w:szCs w:val="22"/>
        </w:rPr>
      </w:pPr>
    </w:p>
    <w:p w:rsidR="00C276A7" w:rsidRPr="00EC0EBB" w:rsidRDefault="00C276A7" w:rsidP="00C276A7">
      <w:pPr>
        <w:jc w:val="both"/>
        <w:rPr>
          <w:sz w:val="22"/>
          <w:szCs w:val="22"/>
          <w:lang w:val="en-US"/>
        </w:rPr>
      </w:pPr>
      <w:r w:rsidRPr="00EC0EBB">
        <w:rPr>
          <w:sz w:val="22"/>
          <w:szCs w:val="22"/>
          <w:lang w:val="en-US"/>
        </w:rPr>
        <w:t xml:space="preserve">Living spaces of civilizations have been in continuous change and transformation throughout history. Interventions with these spaces have diversified and intensified with the momentum in the process with economic, technologic, political and socio-cultural changes. At this point, the focal point of these interventions has been conservation of cultural values because of the effects of globalization in terms of elimination of diversities. </w:t>
      </w:r>
    </w:p>
    <w:p w:rsidR="00C276A7" w:rsidRPr="00EC0EBB" w:rsidRDefault="00C276A7" w:rsidP="00C276A7">
      <w:pPr>
        <w:jc w:val="both"/>
        <w:rPr>
          <w:sz w:val="22"/>
          <w:szCs w:val="22"/>
          <w:lang w:val="en-US"/>
        </w:rPr>
      </w:pPr>
    </w:p>
    <w:p w:rsidR="00C276A7" w:rsidRPr="00EC0EBB" w:rsidRDefault="00C276A7" w:rsidP="00C276A7">
      <w:pPr>
        <w:jc w:val="both"/>
        <w:rPr>
          <w:sz w:val="22"/>
          <w:szCs w:val="22"/>
          <w:lang w:val="en-US"/>
        </w:rPr>
      </w:pPr>
      <w:r w:rsidRPr="00EC0EBB">
        <w:rPr>
          <w:sz w:val="22"/>
          <w:szCs w:val="22"/>
          <w:lang w:val="en-US"/>
        </w:rPr>
        <w:t xml:space="preserve">The natural and built environment interacts with the urban identity in the sense of socio-economic and socio-cultural aspects. The important point in this interactions system is that interventions cover the society in general and aim for not only physical but also social development. </w:t>
      </w:r>
    </w:p>
    <w:p w:rsidR="00C276A7" w:rsidRPr="00EC0EBB" w:rsidRDefault="00C276A7" w:rsidP="00C276A7">
      <w:pPr>
        <w:jc w:val="both"/>
        <w:rPr>
          <w:sz w:val="22"/>
          <w:szCs w:val="22"/>
          <w:lang w:val="en-US"/>
        </w:rPr>
      </w:pPr>
    </w:p>
    <w:p w:rsidR="00C276A7" w:rsidRPr="00EC0EBB" w:rsidRDefault="00C276A7" w:rsidP="00C276A7">
      <w:pPr>
        <w:jc w:val="both"/>
        <w:rPr>
          <w:sz w:val="22"/>
          <w:szCs w:val="22"/>
          <w:lang w:val="en-US"/>
        </w:rPr>
      </w:pPr>
      <w:r w:rsidRPr="00EC0EBB">
        <w:rPr>
          <w:sz w:val="22"/>
          <w:szCs w:val="22"/>
          <w:lang w:val="en-US"/>
        </w:rPr>
        <w:t>The purpose of the article is to shed light on the processes of cultural preservation, development, sustainability and protection while benefiting from cultural values of a living space.</w:t>
      </w:r>
    </w:p>
    <w:p w:rsidR="00C276A7" w:rsidRPr="00EC0EBB" w:rsidRDefault="00C276A7" w:rsidP="00C276A7">
      <w:pPr>
        <w:jc w:val="both"/>
        <w:rPr>
          <w:sz w:val="22"/>
          <w:szCs w:val="22"/>
          <w:lang w:val="en-US"/>
        </w:rPr>
      </w:pPr>
    </w:p>
    <w:p w:rsidR="00C276A7" w:rsidRPr="00EC0EBB" w:rsidRDefault="00C276A7" w:rsidP="00C276A7">
      <w:pPr>
        <w:jc w:val="both"/>
        <w:rPr>
          <w:sz w:val="22"/>
          <w:szCs w:val="22"/>
          <w:lang w:val="en-US"/>
        </w:rPr>
      </w:pPr>
      <w:r w:rsidRPr="00EC0EBB">
        <w:rPr>
          <w:sz w:val="22"/>
          <w:szCs w:val="22"/>
          <w:lang w:val="en-US"/>
        </w:rPr>
        <w:t xml:space="preserve">From this perspective, Bursa / </w:t>
      </w:r>
      <w:proofErr w:type="spellStart"/>
      <w:r w:rsidRPr="00EC0EBB">
        <w:rPr>
          <w:sz w:val="22"/>
          <w:szCs w:val="22"/>
          <w:lang w:val="en-US"/>
        </w:rPr>
        <w:t>Cumalıkızık</w:t>
      </w:r>
      <w:proofErr w:type="spellEnd"/>
      <w:r w:rsidRPr="00EC0EBB">
        <w:rPr>
          <w:sz w:val="22"/>
          <w:szCs w:val="22"/>
          <w:lang w:val="en-US"/>
        </w:rPr>
        <w:t xml:space="preserve"> has been preferred as the example living space in this case and the region’s change, transformation, globalization, cultural identity, cultural sustainability, rebuilding and preservation processes are reviewed. </w:t>
      </w:r>
    </w:p>
    <w:p w:rsidR="00C276A7" w:rsidRPr="00EC0EBB" w:rsidRDefault="00C276A7" w:rsidP="00C276A7">
      <w:pPr>
        <w:jc w:val="both"/>
        <w:rPr>
          <w:sz w:val="22"/>
          <w:szCs w:val="22"/>
          <w:lang w:val="en-US"/>
        </w:rPr>
      </w:pPr>
    </w:p>
    <w:p w:rsidR="00C276A7" w:rsidRPr="00EC0EBB" w:rsidRDefault="00C276A7" w:rsidP="00C276A7">
      <w:pPr>
        <w:jc w:val="both"/>
        <w:rPr>
          <w:sz w:val="22"/>
          <w:szCs w:val="22"/>
          <w:lang w:val="en-US"/>
        </w:rPr>
      </w:pPr>
      <w:r w:rsidRPr="00EC0EBB">
        <w:rPr>
          <w:sz w:val="22"/>
          <w:szCs w:val="22"/>
          <w:lang w:val="en-US"/>
        </w:rPr>
        <w:t xml:space="preserve">The relationship between the building state in the region and cultural sustainability and cultural identity with traces of traditional architecture has been evaluated. Under the light of these assessments, it has been determined that cultural sustainability can be realized with preservation of the current built environment. It has been concluded that benefitting only in form from traditional architecture and culture would fall insufficient and the first step in establishing ties with this type of building would be to preserve and protect them and then to analyze and use accurately. </w:t>
      </w:r>
    </w:p>
    <w:p w:rsidR="00C276A7" w:rsidRPr="00EC0EBB" w:rsidRDefault="00C276A7" w:rsidP="00C276A7">
      <w:pPr>
        <w:jc w:val="both"/>
        <w:rPr>
          <w:sz w:val="22"/>
          <w:szCs w:val="22"/>
          <w:lang w:val="en-US"/>
        </w:rPr>
      </w:pPr>
    </w:p>
    <w:p w:rsidR="00C276A7" w:rsidRPr="00EC0EBB" w:rsidRDefault="00C276A7" w:rsidP="00C276A7">
      <w:pPr>
        <w:jc w:val="both"/>
        <w:rPr>
          <w:sz w:val="22"/>
          <w:szCs w:val="22"/>
          <w:lang w:val="en-US"/>
        </w:rPr>
      </w:pPr>
      <w:r w:rsidRPr="00EC0EBB">
        <w:rPr>
          <w:b/>
          <w:bCs/>
          <w:sz w:val="22"/>
          <w:szCs w:val="22"/>
          <w:lang w:val="en-US"/>
        </w:rPr>
        <w:t xml:space="preserve">Keywords: </w:t>
      </w:r>
      <w:r w:rsidRPr="00EC0EBB">
        <w:rPr>
          <w:sz w:val="22"/>
          <w:szCs w:val="22"/>
          <w:lang w:val="en-US"/>
        </w:rPr>
        <w:t xml:space="preserve">Rebuilding, preservation, </w:t>
      </w:r>
      <w:proofErr w:type="spellStart"/>
      <w:r w:rsidRPr="00EC0EBB">
        <w:rPr>
          <w:sz w:val="22"/>
          <w:szCs w:val="22"/>
          <w:lang w:val="en-US"/>
        </w:rPr>
        <w:t>Cumalıkızık</w:t>
      </w:r>
      <w:proofErr w:type="spellEnd"/>
      <w:r w:rsidRPr="00EC0EBB">
        <w:rPr>
          <w:sz w:val="22"/>
          <w:szCs w:val="22"/>
          <w:lang w:val="en-US"/>
        </w:rPr>
        <w:t xml:space="preserve">, historic buildings. </w:t>
      </w:r>
    </w:p>
    <w:p w:rsidR="00183473" w:rsidRPr="00EC0EBB" w:rsidRDefault="00183473">
      <w:pPr>
        <w:rPr>
          <w:b/>
          <w:bCs/>
          <w:sz w:val="22"/>
          <w:szCs w:val="22"/>
        </w:rPr>
      </w:pPr>
    </w:p>
    <w:sectPr w:rsidR="00183473" w:rsidRPr="00EC0EBB" w:rsidSect="0077403D">
      <w:headerReference w:type="default" r:id="rId10"/>
      <w:pgSz w:w="11906" w:h="16838"/>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5FE" w:rsidRDefault="007125FE">
      <w:r>
        <w:separator/>
      </w:r>
    </w:p>
  </w:endnote>
  <w:endnote w:type="continuationSeparator" w:id="0">
    <w:p w:rsidR="007125FE" w:rsidRDefault="007125F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5FE" w:rsidRDefault="007125FE">
      <w:r>
        <w:separator/>
      </w:r>
    </w:p>
  </w:footnote>
  <w:footnote w:type="continuationSeparator" w:id="0">
    <w:p w:rsidR="007125FE" w:rsidRDefault="007125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060" w:rsidRPr="00C7018B" w:rsidRDefault="00B77060" w:rsidP="00B77060">
    <w:pPr>
      <w:pStyle w:val="KonuBal"/>
      <w:jc w:val="left"/>
      <w:rPr>
        <w:szCs w:val="16"/>
      </w:rPr>
    </w:pPr>
    <w:r>
      <w:t>Kerpic’1</w:t>
    </w:r>
    <w:r w:rsidR="00C7018B">
      <w:t>6</w:t>
    </w:r>
    <w:r>
      <w:t xml:space="preserve">– </w:t>
    </w:r>
    <w:r w:rsidR="00C7018B" w:rsidRPr="00C7018B">
      <w:rPr>
        <w:bCs/>
        <w:szCs w:val="16"/>
        <w:bdr w:val="none" w:sz="0" w:space="0" w:color="auto" w:frame="1"/>
      </w:rPr>
      <w:t>“</w:t>
    </w:r>
    <w:proofErr w:type="spellStart"/>
    <w:r w:rsidR="00C7018B" w:rsidRPr="00C7018B">
      <w:rPr>
        <w:bCs/>
        <w:szCs w:val="16"/>
        <w:bdr w:val="none" w:sz="0" w:space="0" w:color="auto" w:frame="1"/>
      </w:rPr>
      <w:t>Cultural</w:t>
    </w:r>
    <w:proofErr w:type="spellEnd"/>
    <w:r w:rsidR="00C7018B" w:rsidRPr="00C7018B">
      <w:rPr>
        <w:bCs/>
        <w:szCs w:val="16"/>
        <w:bdr w:val="none" w:sz="0" w:space="0" w:color="auto" w:frame="1"/>
      </w:rPr>
      <w:t xml:space="preserve"> </w:t>
    </w:r>
    <w:proofErr w:type="spellStart"/>
    <w:r w:rsidR="00C7018B" w:rsidRPr="00C7018B">
      <w:rPr>
        <w:bCs/>
        <w:szCs w:val="16"/>
        <w:bdr w:val="none" w:sz="0" w:space="0" w:color="auto" w:frame="1"/>
      </w:rPr>
      <w:t>Landscape</w:t>
    </w:r>
    <w:proofErr w:type="spellEnd"/>
    <w:r w:rsidR="00C7018B" w:rsidRPr="00C7018B">
      <w:rPr>
        <w:bCs/>
        <w:szCs w:val="16"/>
        <w:bdr w:val="none" w:sz="0" w:space="0" w:color="auto" w:frame="1"/>
      </w:rPr>
      <w:t xml:space="preserve">: </w:t>
    </w:r>
    <w:proofErr w:type="spellStart"/>
    <w:r w:rsidR="00C7018B" w:rsidRPr="00C7018B">
      <w:rPr>
        <w:bCs/>
        <w:szCs w:val="16"/>
        <w:bdr w:val="none" w:sz="0" w:space="0" w:color="auto" w:frame="1"/>
      </w:rPr>
      <w:t>Rebuilding</w:t>
    </w:r>
    <w:proofErr w:type="spellEnd"/>
    <w:r w:rsidR="00C7018B" w:rsidRPr="00C7018B">
      <w:rPr>
        <w:bCs/>
        <w:szCs w:val="16"/>
        <w:bdr w:val="none" w:sz="0" w:space="0" w:color="auto" w:frame="1"/>
      </w:rPr>
      <w:t xml:space="preserve"> </w:t>
    </w:r>
    <w:proofErr w:type="spellStart"/>
    <w:r w:rsidR="00C7018B" w:rsidRPr="00C7018B">
      <w:rPr>
        <w:bCs/>
        <w:szCs w:val="16"/>
        <w:bdr w:val="none" w:sz="0" w:space="0" w:color="auto" w:frame="1"/>
      </w:rPr>
      <w:t>after</w:t>
    </w:r>
    <w:proofErr w:type="spellEnd"/>
    <w:r w:rsidR="00C7018B" w:rsidRPr="00C7018B">
      <w:rPr>
        <w:bCs/>
        <w:szCs w:val="16"/>
        <w:bdr w:val="none" w:sz="0" w:space="0" w:color="auto" w:frame="1"/>
      </w:rPr>
      <w:t xml:space="preserve"> </w:t>
    </w:r>
    <w:proofErr w:type="spellStart"/>
    <w:r w:rsidR="00C7018B" w:rsidRPr="00C7018B">
      <w:rPr>
        <w:bCs/>
        <w:szCs w:val="16"/>
        <w:bdr w:val="none" w:sz="0" w:space="0" w:color="auto" w:frame="1"/>
      </w:rPr>
      <w:t>Decay</w:t>
    </w:r>
    <w:proofErr w:type="spellEnd"/>
    <w:r w:rsidR="00C7018B" w:rsidRPr="00C7018B">
      <w:rPr>
        <w:bCs/>
        <w:szCs w:val="16"/>
        <w:bdr w:val="none" w:sz="0" w:space="0" w:color="auto" w:frame="1"/>
      </w:rPr>
      <w:t>”</w:t>
    </w:r>
    <w:r w:rsidR="00C7018B" w:rsidRPr="00C7018B">
      <w:rPr>
        <w:rStyle w:val="apple-converted-space"/>
        <w:szCs w:val="16"/>
      </w:rPr>
      <w:t> </w:t>
    </w:r>
  </w:p>
  <w:p w:rsidR="00B77060" w:rsidRDefault="00B77060" w:rsidP="00B77060">
    <w:pPr>
      <w:pStyle w:val="KonuBal"/>
      <w:jc w:val="left"/>
    </w:pPr>
    <w:proofErr w:type="spellStart"/>
    <w:r>
      <w:t>International</w:t>
    </w:r>
    <w:proofErr w:type="spellEnd"/>
    <w:r>
      <w:t xml:space="preserve"> </w:t>
    </w:r>
    <w:proofErr w:type="spellStart"/>
    <w:r>
      <w:t>Conference</w:t>
    </w:r>
    <w:proofErr w:type="spellEnd"/>
    <w:r>
      <w:t xml:space="preserve"> </w:t>
    </w:r>
  </w:p>
  <w:p w:rsidR="00B77060" w:rsidRDefault="00B77060" w:rsidP="00B77060">
    <w:pPr>
      <w:rPr>
        <w:i/>
        <w:iCs/>
        <w:sz w:val="16"/>
      </w:rPr>
    </w:pPr>
    <w:proofErr w:type="spellStart"/>
    <w:r>
      <w:rPr>
        <w:i/>
        <w:iCs/>
        <w:sz w:val="16"/>
      </w:rPr>
      <w:t>Istanbul</w:t>
    </w:r>
    <w:proofErr w:type="spellEnd"/>
    <w:r>
      <w:rPr>
        <w:i/>
        <w:iCs/>
        <w:sz w:val="16"/>
      </w:rPr>
      <w:t xml:space="preserve"> </w:t>
    </w:r>
    <w:proofErr w:type="spellStart"/>
    <w:r>
      <w:rPr>
        <w:i/>
        <w:iCs/>
        <w:sz w:val="16"/>
      </w:rPr>
      <w:t>Aydin</w:t>
    </w:r>
    <w:proofErr w:type="spellEnd"/>
    <w:r>
      <w:rPr>
        <w:i/>
        <w:iCs/>
        <w:sz w:val="16"/>
      </w:rPr>
      <w:t xml:space="preserve"> University, Turkey, </w:t>
    </w:r>
    <w:r w:rsidR="00C7018B">
      <w:rPr>
        <w:i/>
        <w:iCs/>
        <w:sz w:val="16"/>
      </w:rPr>
      <w:t>17</w:t>
    </w:r>
    <w:r>
      <w:rPr>
        <w:i/>
        <w:iCs/>
        <w:sz w:val="16"/>
      </w:rPr>
      <w:t>-1</w:t>
    </w:r>
    <w:r w:rsidR="00C7018B">
      <w:rPr>
        <w:i/>
        <w:iCs/>
        <w:sz w:val="16"/>
      </w:rPr>
      <w:t xml:space="preserve">8 </w:t>
    </w:r>
    <w:proofErr w:type="spellStart"/>
    <w:r w:rsidR="00C7018B">
      <w:rPr>
        <w:i/>
        <w:iCs/>
        <w:sz w:val="16"/>
      </w:rPr>
      <w:t>December</w:t>
    </w:r>
    <w:proofErr w:type="spellEnd"/>
    <w:r>
      <w:rPr>
        <w:i/>
        <w:iCs/>
        <w:sz w:val="16"/>
      </w:rPr>
      <w:t xml:space="preserve"> 201</w:t>
    </w:r>
    <w:r w:rsidR="00C7018B">
      <w:rPr>
        <w:i/>
        <w:iCs/>
        <w:sz w:val="16"/>
      </w:rPr>
      <w:t>6</w:t>
    </w:r>
  </w:p>
  <w:p w:rsidR="00183473" w:rsidRPr="00B1059B" w:rsidRDefault="00183473" w:rsidP="00B1059B">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26647"/>
    <w:rsid w:val="000056B5"/>
    <w:rsid w:val="00077A47"/>
    <w:rsid w:val="000F6EB9"/>
    <w:rsid w:val="00183473"/>
    <w:rsid w:val="0019505C"/>
    <w:rsid w:val="001B3D22"/>
    <w:rsid w:val="001B6106"/>
    <w:rsid w:val="00287F92"/>
    <w:rsid w:val="002B118E"/>
    <w:rsid w:val="002F168B"/>
    <w:rsid w:val="0034394E"/>
    <w:rsid w:val="003C3988"/>
    <w:rsid w:val="00504A4B"/>
    <w:rsid w:val="00526647"/>
    <w:rsid w:val="00560EC1"/>
    <w:rsid w:val="005B0D5F"/>
    <w:rsid w:val="005B71E2"/>
    <w:rsid w:val="005C6C54"/>
    <w:rsid w:val="00637D2C"/>
    <w:rsid w:val="00684A24"/>
    <w:rsid w:val="007125FE"/>
    <w:rsid w:val="00751A78"/>
    <w:rsid w:val="00755751"/>
    <w:rsid w:val="0077403D"/>
    <w:rsid w:val="00787EB9"/>
    <w:rsid w:val="007D3EF7"/>
    <w:rsid w:val="007D58CD"/>
    <w:rsid w:val="0087797B"/>
    <w:rsid w:val="00962F3B"/>
    <w:rsid w:val="00966E7D"/>
    <w:rsid w:val="009A1EE2"/>
    <w:rsid w:val="00A13FA9"/>
    <w:rsid w:val="00A1448F"/>
    <w:rsid w:val="00A46CB1"/>
    <w:rsid w:val="00B1059B"/>
    <w:rsid w:val="00B50A32"/>
    <w:rsid w:val="00B719C2"/>
    <w:rsid w:val="00B77060"/>
    <w:rsid w:val="00BA187D"/>
    <w:rsid w:val="00C276A7"/>
    <w:rsid w:val="00C7018B"/>
    <w:rsid w:val="00C83A5A"/>
    <w:rsid w:val="00D0491E"/>
    <w:rsid w:val="00DA67A4"/>
    <w:rsid w:val="00DD279F"/>
    <w:rsid w:val="00DF6C28"/>
    <w:rsid w:val="00EA4D69"/>
    <w:rsid w:val="00EB4E68"/>
    <w:rsid w:val="00EC0EBB"/>
    <w:rsid w:val="00ED1F87"/>
    <w:rsid w:val="00EF4FA4"/>
    <w:rsid w:val="00F87C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03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77403D"/>
    <w:pPr>
      <w:jc w:val="center"/>
    </w:pPr>
    <w:rPr>
      <w:i/>
      <w:iCs/>
      <w:sz w:val="16"/>
    </w:rPr>
  </w:style>
  <w:style w:type="paragraph" w:styleId="stbilgi">
    <w:name w:val="header"/>
    <w:basedOn w:val="Normal"/>
    <w:rsid w:val="0077403D"/>
    <w:pPr>
      <w:tabs>
        <w:tab w:val="center" w:pos="4703"/>
        <w:tab w:val="right" w:pos="9406"/>
      </w:tabs>
    </w:pPr>
  </w:style>
  <w:style w:type="paragraph" w:styleId="Altbilgi">
    <w:name w:val="footer"/>
    <w:basedOn w:val="Normal"/>
    <w:rsid w:val="0077403D"/>
    <w:pPr>
      <w:tabs>
        <w:tab w:val="center" w:pos="4703"/>
        <w:tab w:val="right" w:pos="9406"/>
      </w:tabs>
    </w:pPr>
  </w:style>
  <w:style w:type="character" w:customStyle="1" w:styleId="apple-converted-space">
    <w:name w:val="apple-converted-space"/>
    <w:basedOn w:val="VarsaylanParagrafYazTipi"/>
    <w:rsid w:val="00C7018B"/>
  </w:style>
  <w:style w:type="character" w:styleId="Kpr">
    <w:name w:val="Hyperlink"/>
    <w:uiPriority w:val="99"/>
    <w:unhideWhenUsed/>
    <w:rsid w:val="005B71E2"/>
    <w:rPr>
      <w:color w:val="0000FF"/>
      <w:u w:val="single"/>
    </w:rPr>
  </w:style>
  <w:style w:type="paragraph" w:styleId="GvdeMetni">
    <w:name w:val="Body Text"/>
    <w:basedOn w:val="Normal"/>
    <w:link w:val="GvdeMetniChar"/>
    <w:uiPriority w:val="1"/>
    <w:qFormat/>
    <w:rsid w:val="00504A4B"/>
    <w:pPr>
      <w:widowControl w:val="0"/>
    </w:pPr>
    <w:rPr>
      <w:lang w:val="en-US" w:eastAsia="en-US"/>
    </w:rPr>
  </w:style>
  <w:style w:type="character" w:customStyle="1" w:styleId="GvdeMetniChar">
    <w:name w:val="Gövde Metni Char"/>
    <w:link w:val="GvdeMetni"/>
    <w:uiPriority w:val="1"/>
    <w:rsid w:val="00504A4B"/>
    <w:rPr>
      <w:sz w:val="24"/>
      <w:szCs w:val="24"/>
      <w:lang w:val="en-US" w:eastAsia="en-US"/>
    </w:rPr>
  </w:style>
  <w:style w:type="paragraph" w:styleId="BalonMetni">
    <w:name w:val="Balloon Text"/>
    <w:basedOn w:val="Normal"/>
    <w:link w:val="BalonMetniChar"/>
    <w:uiPriority w:val="99"/>
    <w:semiHidden/>
    <w:unhideWhenUsed/>
    <w:rsid w:val="000056B5"/>
    <w:rPr>
      <w:rFonts w:ascii="Tahoma" w:hAnsi="Tahoma" w:cs="Tahoma"/>
      <w:sz w:val="16"/>
      <w:szCs w:val="16"/>
    </w:rPr>
  </w:style>
  <w:style w:type="character" w:customStyle="1" w:styleId="BalonMetniChar">
    <w:name w:val="Balon Metni Char"/>
    <w:basedOn w:val="VarsaylanParagrafYazTipi"/>
    <w:link w:val="BalonMetni"/>
    <w:uiPriority w:val="99"/>
    <w:semiHidden/>
    <w:rsid w:val="000056B5"/>
    <w:rPr>
      <w:rFonts w:ascii="Tahoma" w:hAnsi="Tahoma" w:cs="Tahoma"/>
      <w:sz w:val="16"/>
      <w:szCs w:val="16"/>
    </w:rPr>
  </w:style>
  <w:style w:type="table" w:styleId="TabloKlavuzu">
    <w:name w:val="Table Grid"/>
    <w:basedOn w:val="NormalTablo"/>
    <w:uiPriority w:val="59"/>
    <w:rsid w:val="000056B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afifVurgulama">
    <w:name w:val="Subtle Emphasis"/>
    <w:basedOn w:val="VarsaylanParagrafYazTipi"/>
    <w:uiPriority w:val="19"/>
    <w:qFormat/>
    <w:rsid w:val="000056B5"/>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353463899">
      <w:bodyDiv w:val="1"/>
      <w:marLeft w:val="0"/>
      <w:marRight w:val="0"/>
      <w:marTop w:val="0"/>
      <w:marBottom w:val="0"/>
      <w:divBdr>
        <w:top w:val="none" w:sz="0" w:space="0" w:color="auto"/>
        <w:left w:val="none" w:sz="0" w:space="0" w:color="auto"/>
        <w:bottom w:val="none" w:sz="0" w:space="0" w:color="auto"/>
        <w:right w:val="none" w:sz="0" w:space="0" w:color="auto"/>
      </w:divBdr>
      <w:divsChild>
        <w:div w:id="159647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ysel_oem@yahoo.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ibelhattap@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1813</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Living in Earthen Cities – kerpic05</vt:lpstr>
      <vt:lpstr>Living in Earthen Cities – kerpic05</vt:lpstr>
    </vt:vector>
  </TitlesOfParts>
  <Company>VESTEL</Company>
  <LinksUpToDate>false</LinksUpToDate>
  <CharactersWithSpaces>2127</CharactersWithSpaces>
  <SharedDoc>false</SharedDoc>
  <HLinks>
    <vt:vector size="12" baseType="variant">
      <vt:variant>
        <vt:i4>1966142</vt:i4>
      </vt:variant>
      <vt:variant>
        <vt:i4>3</vt:i4>
      </vt:variant>
      <vt:variant>
        <vt:i4>0</vt:i4>
      </vt:variant>
      <vt:variant>
        <vt:i4>5</vt:i4>
      </vt:variant>
      <vt:variant>
        <vt:lpwstr>mailto:sibelhattap@gmail.com</vt:lpwstr>
      </vt:variant>
      <vt:variant>
        <vt:lpwstr/>
      </vt:variant>
      <vt:variant>
        <vt:i4>7209059</vt:i4>
      </vt:variant>
      <vt:variant>
        <vt:i4>0</vt:i4>
      </vt:variant>
      <vt:variant>
        <vt:i4>0</vt:i4>
      </vt:variant>
      <vt:variant>
        <vt:i4>5</vt:i4>
      </vt:variant>
      <vt:variant>
        <vt:lpwstr>mailto:aysel_oem@yahoo.com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in Earthen Cities – kerpic05</dc:title>
  <dc:creator>EDA</dc:creator>
  <cp:lastModifiedBy>gokcenfyucel</cp:lastModifiedBy>
  <cp:revision>2</cp:revision>
  <dcterms:created xsi:type="dcterms:W3CDTF">2016-12-12T13:19:00Z</dcterms:created>
  <dcterms:modified xsi:type="dcterms:W3CDTF">2016-12-12T13:19:00Z</dcterms:modified>
</cp:coreProperties>
</file>